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6" w:rsidRPr="002D00AB" w:rsidRDefault="00F03956" w:rsidP="00890906">
      <w:pPr>
        <w:jc w:val="center"/>
        <w:rPr>
          <w:rFonts w:ascii="標楷體" w:eastAsia="標楷體" w:hAnsi="標楷體"/>
          <w:b/>
          <w:sz w:val="40"/>
          <w:szCs w:val="24"/>
        </w:rPr>
      </w:pPr>
      <w:r w:rsidRPr="002D00AB">
        <w:rPr>
          <w:rFonts w:ascii="標楷體" w:eastAsia="標楷體" w:hAnsi="標楷體" w:hint="eastAsia"/>
          <w:b/>
          <w:sz w:val="40"/>
          <w:szCs w:val="24"/>
        </w:rPr>
        <w:t>人文素養</w:t>
      </w:r>
      <w:r w:rsidR="002D00AB">
        <w:rPr>
          <w:rFonts w:ascii="標楷體" w:eastAsia="標楷體" w:hAnsi="標楷體" w:hint="eastAsia"/>
          <w:b/>
          <w:sz w:val="40"/>
          <w:szCs w:val="24"/>
        </w:rPr>
        <w:t>8</w:t>
      </w:r>
      <w:r w:rsidRPr="002D00AB">
        <w:rPr>
          <w:rFonts w:ascii="標楷體" w:eastAsia="標楷體" w:hAnsi="標楷體" w:hint="eastAsia"/>
          <w:b/>
          <w:sz w:val="40"/>
          <w:szCs w:val="24"/>
        </w:rPr>
        <w:t>項學習項次之承辦單位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612"/>
        <w:gridCol w:w="1683"/>
        <w:gridCol w:w="1452"/>
        <w:gridCol w:w="915"/>
      </w:tblGrid>
      <w:tr w:rsidR="009B3988" w:rsidRPr="002D00AB" w:rsidTr="002D00AB">
        <w:trPr>
          <w:trHeight w:val="546"/>
        </w:trPr>
        <w:tc>
          <w:tcPr>
            <w:tcW w:w="625" w:type="pct"/>
            <w:shd w:val="clear" w:color="auto" w:fill="DBE5F1" w:themeFill="accent1" w:themeFillTint="33"/>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學習項次名稱</w:t>
            </w:r>
          </w:p>
        </w:tc>
        <w:tc>
          <w:tcPr>
            <w:tcW w:w="3078" w:type="pct"/>
            <w:shd w:val="clear" w:color="auto" w:fill="DBE5F1" w:themeFill="accent1" w:themeFillTint="33"/>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項次精神</w:t>
            </w:r>
          </w:p>
        </w:tc>
        <w:tc>
          <w:tcPr>
            <w:tcW w:w="539" w:type="pct"/>
            <w:shd w:val="clear" w:color="auto" w:fill="DBE5F1" w:themeFill="accent1" w:themeFillTint="33"/>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主辦單位</w:t>
            </w:r>
          </w:p>
        </w:tc>
        <w:tc>
          <w:tcPr>
            <w:tcW w:w="465" w:type="pct"/>
            <w:shd w:val="clear" w:color="auto" w:fill="DBE5F1" w:themeFill="accent1" w:themeFillTint="33"/>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承辦人員</w:t>
            </w:r>
          </w:p>
        </w:tc>
        <w:tc>
          <w:tcPr>
            <w:tcW w:w="293" w:type="pct"/>
            <w:shd w:val="clear" w:color="auto" w:fill="DBE5F1" w:themeFill="accent1" w:themeFillTint="33"/>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分機</w:t>
            </w:r>
          </w:p>
        </w:tc>
      </w:tr>
      <w:tr w:rsidR="009B3988" w:rsidRPr="002D00AB" w:rsidTr="009B3988">
        <w:trPr>
          <w:trHeight w:val="406"/>
        </w:trPr>
        <w:tc>
          <w:tcPr>
            <w:tcW w:w="625"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新聞講看</w:t>
            </w:r>
            <w:proofErr w:type="gramStart"/>
            <w:r w:rsidRPr="002D00AB">
              <w:rPr>
                <w:rFonts w:ascii="Times New Roman" w:eastAsia="標楷體" w:hAnsi="Times New Roman"/>
                <w:color w:val="000000" w:themeColor="text1"/>
                <w:szCs w:val="24"/>
              </w:rPr>
              <w:t>嘜</w:t>
            </w:r>
            <w:proofErr w:type="gramEnd"/>
          </w:p>
        </w:tc>
        <w:tc>
          <w:tcPr>
            <w:tcW w:w="3078"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「新聞講看</w:t>
            </w:r>
            <w:proofErr w:type="gramStart"/>
            <w:r w:rsidRPr="002D00AB">
              <w:rPr>
                <w:rFonts w:ascii="Times New Roman" w:eastAsia="標楷體" w:hAnsi="Times New Roman"/>
                <w:color w:val="000000" w:themeColor="text1"/>
                <w:szCs w:val="24"/>
              </w:rPr>
              <w:t>嘜</w:t>
            </w:r>
            <w:proofErr w:type="gramEnd"/>
            <w:r w:rsidRPr="002D00AB">
              <w:rPr>
                <w:rFonts w:ascii="Times New Roman" w:eastAsia="標楷體" w:hAnsi="Times New Roman"/>
                <w:color w:val="000000" w:themeColor="text1"/>
                <w:szCs w:val="24"/>
              </w:rPr>
              <w:t>」講座的實施，選擇近期發生的重大新聞議題，由通識教育中心主任、相關專任教師共同商議合適人選與講題，主動邀請國內於此議題具備專業能力的專家學者到校演講或是舉辦座談會，由現場學生提問。企圖呈現如何以不同角度剖析當今社會現象，從而帶領學生探討議題背後的深層意義。透過「新聞講看</w:t>
            </w:r>
            <w:proofErr w:type="gramStart"/>
            <w:r w:rsidRPr="002D00AB">
              <w:rPr>
                <w:rFonts w:ascii="Times New Roman" w:eastAsia="標楷體" w:hAnsi="Times New Roman"/>
                <w:color w:val="000000" w:themeColor="text1"/>
                <w:szCs w:val="24"/>
              </w:rPr>
              <w:t>嘜</w:t>
            </w:r>
            <w:proofErr w:type="gramEnd"/>
            <w:r w:rsidRPr="002D00AB">
              <w:rPr>
                <w:rFonts w:ascii="Times New Roman" w:eastAsia="標楷體" w:hAnsi="Times New Roman"/>
                <w:color w:val="000000" w:themeColor="text1"/>
                <w:szCs w:val="24"/>
              </w:rPr>
              <w:t>」講座，激發學生參與社會公共議題的反思、討論與行動，建立主動關心社會正義的公民素養，進而在校內形成關懷時事與社會脈動的學習風氣，培養積極參與公共事務的學習態度，幫助自己與社會一同進步與成長。</w:t>
            </w:r>
          </w:p>
        </w:tc>
        <w:tc>
          <w:tcPr>
            <w:tcW w:w="539"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通識中心</w:t>
            </w:r>
          </w:p>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w:t>
            </w:r>
            <w:r w:rsidRPr="002D00AB">
              <w:rPr>
                <w:rFonts w:ascii="Times New Roman" w:eastAsia="標楷體" w:hAnsi="Times New Roman"/>
                <w:color w:val="000000" w:themeColor="text1"/>
                <w:szCs w:val="24"/>
              </w:rPr>
              <w:t>文興樓</w:t>
            </w:r>
            <w:r w:rsidRPr="002D00AB">
              <w:rPr>
                <w:rFonts w:ascii="Times New Roman" w:eastAsia="標楷體" w:hAnsi="Times New Roman"/>
                <w:color w:val="000000" w:themeColor="text1"/>
                <w:szCs w:val="24"/>
              </w:rPr>
              <w:t>3F)</w:t>
            </w:r>
          </w:p>
        </w:tc>
        <w:tc>
          <w:tcPr>
            <w:tcW w:w="465"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陳瑩佩</w:t>
            </w:r>
          </w:p>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小姐</w:t>
            </w:r>
          </w:p>
        </w:tc>
        <w:tc>
          <w:tcPr>
            <w:tcW w:w="293"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16005</w:t>
            </w:r>
          </w:p>
        </w:tc>
      </w:tr>
      <w:tr w:rsidR="009B3988" w:rsidRPr="002D00AB" w:rsidTr="009B3988">
        <w:tc>
          <w:tcPr>
            <w:tcW w:w="625"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心靈教育</w:t>
            </w:r>
          </w:p>
        </w:tc>
        <w:tc>
          <w:tcPr>
            <w:tcW w:w="3078"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本校為天主教大學，特別重視學生身心靈全人教育；此課程由宗教輔導室籌辦，提供同學心靈成長。課程行之有年，內容有：「靜宜大學的人文精神」、「靈性的意義與培育」，以及「如何成為優秀靜宜人－合一與互愛」。期望提昇</w:t>
            </w:r>
            <w:proofErr w:type="gramStart"/>
            <w:r w:rsidRPr="002D00AB">
              <w:rPr>
                <w:rFonts w:ascii="Times New Roman" w:eastAsia="標楷體" w:hAnsi="Times New Roman"/>
                <w:color w:val="000000" w:themeColor="text1"/>
                <w:szCs w:val="24"/>
              </w:rPr>
              <w:t>學生對靜宜人</w:t>
            </w:r>
            <w:proofErr w:type="gramEnd"/>
            <w:r w:rsidRPr="002D00AB">
              <w:rPr>
                <w:rFonts w:ascii="Times New Roman" w:eastAsia="標楷體" w:hAnsi="Times New Roman"/>
                <w:color w:val="000000" w:themeColor="text1"/>
                <w:szCs w:val="24"/>
              </w:rPr>
              <w:t>文精神的瞭解，強化對靈性生活的重視，生活中體會良知的重要，做出合宜的倫理選擇。</w:t>
            </w:r>
          </w:p>
        </w:tc>
        <w:tc>
          <w:tcPr>
            <w:tcW w:w="539"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proofErr w:type="gramStart"/>
            <w:r w:rsidRPr="002D00AB">
              <w:rPr>
                <w:rFonts w:ascii="Times New Roman" w:eastAsia="標楷體" w:hAnsi="Times New Roman"/>
                <w:color w:val="000000" w:themeColor="text1"/>
                <w:szCs w:val="24"/>
              </w:rPr>
              <w:t>宗輔室</w:t>
            </w:r>
            <w:proofErr w:type="gramEnd"/>
          </w:p>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w:t>
            </w:r>
            <w:r w:rsidRPr="002D00AB">
              <w:rPr>
                <w:rFonts w:ascii="Times New Roman" w:eastAsia="標楷體" w:hAnsi="Times New Roman"/>
                <w:color w:val="000000" w:themeColor="text1"/>
                <w:szCs w:val="24"/>
              </w:rPr>
              <w:t>至善樓</w:t>
            </w:r>
            <w:r w:rsidRPr="002D00AB">
              <w:rPr>
                <w:rFonts w:ascii="Times New Roman" w:eastAsia="標楷體" w:hAnsi="Times New Roman"/>
                <w:color w:val="000000" w:themeColor="text1"/>
                <w:szCs w:val="24"/>
              </w:rPr>
              <w:t>1F)</w:t>
            </w:r>
          </w:p>
        </w:tc>
        <w:tc>
          <w:tcPr>
            <w:tcW w:w="465"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林美芬</w:t>
            </w:r>
          </w:p>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strike/>
                <w:color w:val="000000" w:themeColor="text1"/>
                <w:szCs w:val="24"/>
              </w:rPr>
            </w:pPr>
            <w:r w:rsidRPr="002D00AB">
              <w:rPr>
                <w:rFonts w:ascii="Times New Roman" w:eastAsia="標楷體" w:hAnsi="Times New Roman"/>
                <w:color w:val="000000" w:themeColor="text1"/>
                <w:szCs w:val="24"/>
              </w:rPr>
              <w:t>小姐</w:t>
            </w:r>
          </w:p>
        </w:tc>
        <w:tc>
          <w:tcPr>
            <w:tcW w:w="293"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strike/>
                <w:color w:val="000000" w:themeColor="text1"/>
                <w:szCs w:val="24"/>
              </w:rPr>
            </w:pPr>
            <w:r w:rsidRPr="002D00AB">
              <w:rPr>
                <w:rFonts w:ascii="Times New Roman" w:eastAsia="標楷體" w:hAnsi="Times New Roman"/>
                <w:color w:val="000000" w:themeColor="text1"/>
                <w:szCs w:val="24"/>
              </w:rPr>
              <w:t>11023</w:t>
            </w:r>
          </w:p>
        </w:tc>
      </w:tr>
      <w:tr w:rsidR="009B3988" w:rsidRPr="002D00AB" w:rsidTr="009B3988">
        <w:tc>
          <w:tcPr>
            <w:tcW w:w="625"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pacing w:val="15"/>
                <w:kern w:val="0"/>
                <w:szCs w:val="24"/>
              </w:rPr>
              <w:t>藝術展覽</w:t>
            </w:r>
          </w:p>
        </w:tc>
        <w:tc>
          <w:tcPr>
            <w:tcW w:w="3078"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為提供學生藝術認知與美感體驗，本校由藝術中心統籌並執行各學期藝術展演活動事務。在視覺藝術展覽活動方面，透過多樣性媒材創作的規劃展出，如畫展、雕塑展、攝影展、數位媒體展等，搭配各檔期畫冊、導</w:t>
            </w:r>
            <w:proofErr w:type="gramStart"/>
            <w:r w:rsidRPr="002D00AB">
              <w:rPr>
                <w:rFonts w:ascii="Times New Roman" w:eastAsia="標楷體" w:hAnsi="Times New Roman"/>
                <w:color w:val="000000" w:themeColor="text1"/>
                <w:szCs w:val="24"/>
              </w:rPr>
              <w:t>覽</w:t>
            </w:r>
            <w:proofErr w:type="gramEnd"/>
            <w:r w:rsidRPr="002D00AB">
              <w:rPr>
                <w:rFonts w:ascii="Times New Roman" w:eastAsia="標楷體" w:hAnsi="Times New Roman"/>
                <w:color w:val="000000" w:themeColor="text1"/>
                <w:szCs w:val="24"/>
              </w:rPr>
              <w:t>手冊之出版，藉以實踐本校人文藝術教育理念及培養學生優雅氣質，亦為累積當代台灣藝術史珍貴資料貢獻心力。</w:t>
            </w:r>
          </w:p>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透過本校藝術專業諮詢人員討論，藝術中心每學期規劃辦理不同檔期的藝術展覽活動，並提供展覽網頁導</w:t>
            </w:r>
            <w:proofErr w:type="gramStart"/>
            <w:r w:rsidRPr="002D00AB">
              <w:rPr>
                <w:rFonts w:ascii="Times New Roman" w:eastAsia="標楷體" w:hAnsi="Times New Roman"/>
                <w:color w:val="000000" w:themeColor="text1"/>
                <w:szCs w:val="24"/>
              </w:rPr>
              <w:t>覽</w:t>
            </w:r>
            <w:proofErr w:type="gramEnd"/>
            <w:r w:rsidRPr="002D00AB">
              <w:rPr>
                <w:rFonts w:ascii="Times New Roman" w:eastAsia="標楷體" w:hAnsi="Times New Roman"/>
                <w:color w:val="000000" w:themeColor="text1"/>
                <w:szCs w:val="24"/>
              </w:rPr>
              <w:t>訊息，以利師生蒞臨參觀。</w:t>
            </w:r>
          </w:p>
        </w:tc>
        <w:tc>
          <w:tcPr>
            <w:tcW w:w="539"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藝術中心</w:t>
            </w:r>
          </w:p>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w:t>
            </w:r>
            <w:proofErr w:type="gramStart"/>
            <w:r w:rsidRPr="002D00AB">
              <w:rPr>
                <w:rFonts w:ascii="Times New Roman" w:eastAsia="標楷體" w:hAnsi="Times New Roman"/>
                <w:color w:val="000000" w:themeColor="text1"/>
                <w:szCs w:val="24"/>
              </w:rPr>
              <w:t>任垣樓</w:t>
            </w:r>
            <w:proofErr w:type="gramEnd"/>
            <w:r w:rsidRPr="002D00AB">
              <w:rPr>
                <w:rFonts w:ascii="Times New Roman" w:eastAsia="標楷體" w:hAnsi="Times New Roman"/>
                <w:color w:val="000000" w:themeColor="text1"/>
                <w:szCs w:val="24"/>
              </w:rPr>
              <w:t>1F)</w:t>
            </w:r>
          </w:p>
        </w:tc>
        <w:tc>
          <w:tcPr>
            <w:tcW w:w="465"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梁美慧</w:t>
            </w:r>
          </w:p>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小姐</w:t>
            </w:r>
          </w:p>
        </w:tc>
        <w:tc>
          <w:tcPr>
            <w:tcW w:w="293"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11696</w:t>
            </w:r>
          </w:p>
        </w:tc>
      </w:tr>
    </w:tbl>
    <w:p w:rsidR="009B3988" w:rsidRPr="002D00AB" w:rsidRDefault="009B3988">
      <w:pPr>
        <w:rPr>
          <w:szCs w:val="24"/>
        </w:rPr>
      </w:pPr>
      <w:r w:rsidRPr="002D00AB">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612"/>
        <w:gridCol w:w="1683"/>
        <w:gridCol w:w="1452"/>
        <w:gridCol w:w="915"/>
      </w:tblGrid>
      <w:tr w:rsidR="009B3988" w:rsidRPr="002D00AB" w:rsidTr="009B3988">
        <w:trPr>
          <w:trHeight w:val="405"/>
        </w:trPr>
        <w:tc>
          <w:tcPr>
            <w:tcW w:w="625"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lastRenderedPageBreak/>
              <w:t>學習項次名稱</w:t>
            </w:r>
          </w:p>
        </w:tc>
        <w:tc>
          <w:tcPr>
            <w:tcW w:w="3078"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項次精神</w:t>
            </w:r>
          </w:p>
        </w:tc>
        <w:tc>
          <w:tcPr>
            <w:tcW w:w="539"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主辦單位</w:t>
            </w:r>
          </w:p>
        </w:tc>
        <w:tc>
          <w:tcPr>
            <w:tcW w:w="465"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承辦人員</w:t>
            </w:r>
          </w:p>
        </w:tc>
        <w:tc>
          <w:tcPr>
            <w:tcW w:w="293"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分機</w:t>
            </w:r>
          </w:p>
        </w:tc>
      </w:tr>
      <w:tr w:rsidR="009B3988" w:rsidRPr="002D00AB" w:rsidTr="009B3988">
        <w:tc>
          <w:tcPr>
            <w:tcW w:w="625"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圖書館與我</w:t>
            </w:r>
          </w:p>
        </w:tc>
        <w:tc>
          <w:tcPr>
            <w:tcW w:w="3078"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有人說圖書館是大學的心臟，那</w:t>
            </w:r>
            <w:proofErr w:type="gramStart"/>
            <w:r w:rsidRPr="002D00AB">
              <w:rPr>
                <w:rFonts w:ascii="Times New Roman" w:eastAsia="標楷體" w:hAnsi="Times New Roman"/>
                <w:color w:val="000000" w:themeColor="text1"/>
                <w:szCs w:val="24"/>
              </w:rPr>
              <w:t>使靜宜能</w:t>
            </w:r>
            <w:proofErr w:type="gramEnd"/>
            <w:r w:rsidRPr="002D00AB">
              <w:rPr>
                <w:rFonts w:ascii="Times New Roman" w:eastAsia="標楷體" w:hAnsi="Times New Roman"/>
                <w:color w:val="000000" w:themeColor="text1"/>
                <w:szCs w:val="24"/>
              </w:rPr>
              <w:t>健康跳動的就</w:t>
            </w:r>
            <w:proofErr w:type="gramStart"/>
            <w:r w:rsidRPr="002D00AB">
              <w:rPr>
                <w:rFonts w:ascii="Times New Roman" w:eastAsia="標楷體" w:hAnsi="Times New Roman"/>
                <w:color w:val="000000" w:themeColor="text1"/>
                <w:szCs w:val="24"/>
              </w:rPr>
              <w:t>非蓋夏圖書館莫屬了</w:t>
            </w:r>
            <w:proofErr w:type="gramEnd"/>
            <w:r w:rsidRPr="002D00AB">
              <w:rPr>
                <w:rFonts w:ascii="Times New Roman" w:eastAsia="標楷體" w:hAnsi="Times New Roman"/>
                <w:color w:val="000000" w:themeColor="text1"/>
                <w:szCs w:val="24"/>
              </w:rPr>
              <w:t>，讓我們</w:t>
            </w:r>
            <w:proofErr w:type="gramStart"/>
            <w:r w:rsidRPr="002D00AB">
              <w:rPr>
                <w:rFonts w:ascii="Times New Roman" w:eastAsia="標楷體" w:hAnsi="Times New Roman"/>
                <w:color w:val="000000" w:themeColor="text1"/>
                <w:szCs w:val="24"/>
              </w:rPr>
              <w:t>一</w:t>
            </w:r>
            <w:proofErr w:type="gramEnd"/>
            <w:r w:rsidRPr="002D00AB">
              <w:rPr>
                <w:rFonts w:ascii="Times New Roman" w:eastAsia="標楷體" w:hAnsi="Times New Roman"/>
                <w:color w:val="000000" w:themeColor="text1"/>
                <w:szCs w:val="24"/>
              </w:rPr>
              <w:t>起來看看這顆心臟是如何運作的，圖書館將陪伴每</w:t>
            </w:r>
            <w:proofErr w:type="gramStart"/>
            <w:r w:rsidRPr="002D00AB">
              <w:rPr>
                <w:rFonts w:ascii="Times New Roman" w:eastAsia="標楷體" w:hAnsi="Times New Roman"/>
                <w:color w:val="000000" w:themeColor="text1"/>
                <w:szCs w:val="24"/>
              </w:rPr>
              <w:t>個</w:t>
            </w:r>
            <w:proofErr w:type="gramEnd"/>
            <w:r w:rsidRPr="002D00AB">
              <w:rPr>
                <w:rFonts w:ascii="Times New Roman" w:eastAsia="標楷體" w:hAnsi="Times New Roman"/>
                <w:color w:val="000000" w:themeColor="text1"/>
                <w:szCs w:val="24"/>
              </w:rPr>
              <w:t>大學生四年寒暑。基此，藉由圖書館導</w:t>
            </w:r>
            <w:proofErr w:type="gramStart"/>
            <w:r w:rsidRPr="002D00AB">
              <w:rPr>
                <w:rFonts w:ascii="Times New Roman" w:eastAsia="標楷體" w:hAnsi="Times New Roman"/>
                <w:color w:val="000000" w:themeColor="text1"/>
                <w:szCs w:val="24"/>
              </w:rPr>
              <w:t>覽</w:t>
            </w:r>
            <w:proofErr w:type="gramEnd"/>
            <w:r w:rsidRPr="002D00AB">
              <w:rPr>
                <w:rFonts w:ascii="Times New Roman" w:eastAsia="標楷體" w:hAnsi="Times New Roman"/>
                <w:color w:val="000000" w:themeColor="text1"/>
                <w:szCs w:val="24"/>
              </w:rPr>
              <w:t>活動，期望拉近學生與圖書館的距離，使學生認識圖書館，進而更容易並且喜歡使用圖書館資訊設備及服務。從瞭解圖書館的空間規劃，熟悉並使用圖書館的軟硬體設備，認識圖書館提供的資訊服務。</w:t>
            </w:r>
            <w:proofErr w:type="gramStart"/>
            <w:r w:rsidRPr="002D00AB">
              <w:rPr>
                <w:rFonts w:ascii="Times New Roman" w:eastAsia="標楷體" w:hAnsi="Times New Roman"/>
                <w:color w:val="000000" w:themeColor="text1"/>
                <w:szCs w:val="24"/>
              </w:rPr>
              <w:t>蓋夏圖書館</w:t>
            </w:r>
            <w:proofErr w:type="gramEnd"/>
            <w:r w:rsidRPr="002D00AB">
              <w:rPr>
                <w:rFonts w:ascii="Times New Roman" w:eastAsia="標楷體" w:hAnsi="Times New Roman"/>
                <w:color w:val="000000" w:themeColor="text1"/>
                <w:szCs w:val="24"/>
              </w:rPr>
              <w:t>擁有超過</w:t>
            </w:r>
            <w:r w:rsidRPr="002D00AB">
              <w:rPr>
                <w:rFonts w:ascii="Times New Roman" w:eastAsia="標楷體" w:hAnsi="Times New Roman"/>
                <w:color w:val="000000" w:themeColor="text1"/>
                <w:szCs w:val="24"/>
              </w:rPr>
              <w:t>139</w:t>
            </w:r>
            <w:r w:rsidRPr="002D00AB">
              <w:rPr>
                <w:rFonts w:ascii="Times New Roman" w:eastAsia="標楷體" w:hAnsi="Times New Roman"/>
                <w:color w:val="000000" w:themeColor="text1"/>
                <w:szCs w:val="24"/>
              </w:rPr>
              <w:t>萬豐富的館藏資源，其中包括超過</w:t>
            </w:r>
            <w:r w:rsidRPr="002D00AB">
              <w:rPr>
                <w:rFonts w:ascii="Times New Roman" w:eastAsia="標楷體" w:hAnsi="Times New Roman"/>
                <w:color w:val="000000" w:themeColor="text1"/>
                <w:szCs w:val="24"/>
              </w:rPr>
              <w:t>460</w:t>
            </w:r>
            <w:r w:rsidRPr="002D00AB">
              <w:rPr>
                <w:rFonts w:ascii="Times New Roman" w:eastAsia="標楷體" w:hAnsi="Times New Roman"/>
                <w:color w:val="000000" w:themeColor="text1"/>
                <w:szCs w:val="24"/>
              </w:rPr>
              <w:t>種可使用之中、外文電子資料庫及</w:t>
            </w:r>
            <w:r w:rsidRPr="002D00AB">
              <w:rPr>
                <w:rFonts w:ascii="Times New Roman" w:eastAsia="標楷體" w:hAnsi="Times New Roman"/>
                <w:color w:val="000000" w:themeColor="text1"/>
                <w:szCs w:val="24"/>
              </w:rPr>
              <w:t>56</w:t>
            </w:r>
            <w:r w:rsidRPr="002D00AB">
              <w:rPr>
                <w:rFonts w:ascii="Times New Roman" w:eastAsia="標楷體" w:hAnsi="Times New Roman"/>
                <w:color w:val="000000" w:themeColor="text1"/>
                <w:szCs w:val="24"/>
              </w:rPr>
              <w:t>萬種電子書。</w:t>
            </w:r>
          </w:p>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隨著新學期的到來，圖書館為您提供一系列豐富的各項服務暨電子資源研習課程，讓您在做報告、找資料時，可以掌握更多的資訊來源！研習內容包括：館藏查詢系統、教師指定參考資料服務、電子書、電子期刊資料庫查檢方法、館際合作服務等。藉由「圖書館與我」研習課程，讓您贏在起跑點！</w:t>
            </w:r>
          </w:p>
        </w:tc>
        <w:tc>
          <w:tcPr>
            <w:tcW w:w="539"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圖書館</w:t>
            </w:r>
          </w:p>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(1F</w:t>
            </w:r>
            <w:r w:rsidRPr="002D00AB">
              <w:rPr>
                <w:rFonts w:ascii="Times New Roman" w:eastAsia="標楷體" w:hAnsi="Times New Roman"/>
                <w:color w:val="000000" w:themeColor="text1"/>
                <w:szCs w:val="24"/>
              </w:rPr>
              <w:t>諮詢台</w:t>
            </w:r>
            <w:r w:rsidRPr="002D00AB">
              <w:rPr>
                <w:rFonts w:ascii="Times New Roman" w:eastAsia="標楷體" w:hAnsi="Times New Roman"/>
                <w:color w:val="000000" w:themeColor="text1"/>
                <w:szCs w:val="24"/>
              </w:rPr>
              <w:t>)</w:t>
            </w:r>
          </w:p>
        </w:tc>
        <w:tc>
          <w:tcPr>
            <w:tcW w:w="465"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簡伯宜</w:t>
            </w:r>
          </w:p>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小姐</w:t>
            </w:r>
          </w:p>
        </w:tc>
        <w:tc>
          <w:tcPr>
            <w:tcW w:w="293"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11633</w:t>
            </w:r>
          </w:p>
        </w:tc>
      </w:tr>
      <w:tr w:rsidR="009B3988" w:rsidRPr="002D00AB" w:rsidTr="009B3988">
        <w:trPr>
          <w:trHeight w:val="448"/>
        </w:trPr>
        <w:tc>
          <w:tcPr>
            <w:tcW w:w="625"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pacing w:val="15"/>
                <w:kern w:val="0"/>
                <w:szCs w:val="24"/>
              </w:rPr>
              <w:t>藝術表演</w:t>
            </w:r>
          </w:p>
        </w:tc>
        <w:tc>
          <w:tcPr>
            <w:tcW w:w="3078"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為培養學生具備藝術知能及陶冶性情，本校藝術中心與課外活動指導組每學期邀請音樂、舞蹈、現代戲劇、傳統戲曲等優秀</w:t>
            </w:r>
            <w:proofErr w:type="gramStart"/>
            <w:r w:rsidRPr="002D00AB">
              <w:rPr>
                <w:rFonts w:ascii="Times New Roman" w:eastAsia="標楷體" w:hAnsi="Times New Roman"/>
                <w:color w:val="000000" w:themeColor="text1"/>
                <w:szCs w:val="24"/>
              </w:rPr>
              <w:t>團隊至靜宜</w:t>
            </w:r>
            <w:proofErr w:type="gramEnd"/>
            <w:r w:rsidRPr="002D00AB">
              <w:rPr>
                <w:rFonts w:ascii="Times New Roman" w:eastAsia="標楷體" w:hAnsi="Times New Roman"/>
                <w:color w:val="000000" w:themeColor="text1"/>
                <w:szCs w:val="24"/>
              </w:rPr>
              <w:t>大學演出，希冀藉由精心安排內容豐富之藝術表演活動，提升本校學生藝術涵養與情操，陶冶學生藝術性情。</w:t>
            </w:r>
          </w:p>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本校藝術表演活動乃由審查委員依其專業背景就各申請內容作實質審核認定，每學期規劃有</w:t>
            </w:r>
            <w:r w:rsidRPr="002D00AB">
              <w:rPr>
                <w:rFonts w:ascii="Times New Roman" w:eastAsia="標楷體" w:hAnsi="Times New Roman"/>
                <w:color w:val="000000" w:themeColor="text1"/>
                <w:szCs w:val="24"/>
              </w:rPr>
              <w:t>4~5</w:t>
            </w:r>
            <w:r w:rsidRPr="002D00AB">
              <w:rPr>
                <w:rFonts w:ascii="Times New Roman" w:eastAsia="標楷體" w:hAnsi="Times New Roman"/>
                <w:color w:val="000000" w:themeColor="text1"/>
                <w:szCs w:val="24"/>
              </w:rPr>
              <w:t>場次的藝術表演活動，以利觀眾對表演藝術團隊及演出內容有更深入的了解。</w:t>
            </w:r>
          </w:p>
        </w:tc>
        <w:tc>
          <w:tcPr>
            <w:tcW w:w="539"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proofErr w:type="gramStart"/>
            <w:r w:rsidRPr="002D00AB">
              <w:rPr>
                <w:rFonts w:ascii="Times New Roman" w:eastAsia="標楷體" w:hAnsi="Times New Roman"/>
                <w:color w:val="000000" w:themeColor="text1"/>
                <w:szCs w:val="24"/>
              </w:rPr>
              <w:t>課指組</w:t>
            </w:r>
            <w:proofErr w:type="gramEnd"/>
          </w:p>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w:t>
            </w:r>
            <w:r w:rsidRPr="002D00AB">
              <w:rPr>
                <w:rFonts w:ascii="Times New Roman" w:eastAsia="標楷體" w:hAnsi="Times New Roman"/>
                <w:color w:val="000000" w:themeColor="text1"/>
                <w:szCs w:val="24"/>
              </w:rPr>
              <w:t>至善樓</w:t>
            </w:r>
            <w:r w:rsidRPr="002D00AB">
              <w:rPr>
                <w:rFonts w:ascii="Times New Roman" w:eastAsia="標楷體" w:hAnsi="Times New Roman"/>
                <w:color w:val="000000" w:themeColor="text1"/>
                <w:szCs w:val="24"/>
              </w:rPr>
              <w:t>3F)</w:t>
            </w:r>
          </w:p>
        </w:tc>
        <w:tc>
          <w:tcPr>
            <w:tcW w:w="465"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劉昱妤</w:t>
            </w:r>
          </w:p>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小姐</w:t>
            </w:r>
          </w:p>
        </w:tc>
        <w:tc>
          <w:tcPr>
            <w:tcW w:w="293" w:type="pct"/>
            <w:vAlign w:val="center"/>
          </w:tcPr>
          <w:p w:rsidR="009B3988" w:rsidRPr="002D00AB" w:rsidRDefault="009B3988" w:rsidP="009B3988">
            <w:pPr>
              <w:spacing w:before="100" w:beforeAutospacing="1" w:after="100" w:afterAutospacing="1" w:line="480" w:lineRule="atLeast"/>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11225</w:t>
            </w:r>
          </w:p>
        </w:tc>
      </w:tr>
    </w:tbl>
    <w:p w:rsidR="009B3988" w:rsidRPr="002D00AB" w:rsidRDefault="009B3988">
      <w:pPr>
        <w:rPr>
          <w:szCs w:val="24"/>
        </w:rPr>
      </w:pPr>
      <w:r w:rsidRPr="002D00AB">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9328"/>
        <w:gridCol w:w="1683"/>
        <w:gridCol w:w="1452"/>
        <w:gridCol w:w="915"/>
      </w:tblGrid>
      <w:tr w:rsidR="002D00AB" w:rsidRPr="002D00AB" w:rsidTr="002D00AB">
        <w:trPr>
          <w:trHeight w:val="405"/>
        </w:trPr>
        <w:tc>
          <w:tcPr>
            <w:tcW w:w="716"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lastRenderedPageBreak/>
              <w:t>學習項次名稱</w:t>
            </w:r>
          </w:p>
        </w:tc>
        <w:tc>
          <w:tcPr>
            <w:tcW w:w="2987"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項次精神</w:t>
            </w:r>
          </w:p>
        </w:tc>
        <w:tc>
          <w:tcPr>
            <w:tcW w:w="539"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主辦單位</w:t>
            </w:r>
          </w:p>
        </w:tc>
        <w:tc>
          <w:tcPr>
            <w:tcW w:w="465"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承辦人員</w:t>
            </w:r>
          </w:p>
        </w:tc>
        <w:tc>
          <w:tcPr>
            <w:tcW w:w="293" w:type="pct"/>
            <w:shd w:val="clear" w:color="auto" w:fill="DBE5F1" w:themeFill="accent1" w:themeFillTint="33"/>
            <w:vAlign w:val="center"/>
          </w:tcPr>
          <w:p w:rsidR="009B3988" w:rsidRPr="002D00AB" w:rsidRDefault="009B3988" w:rsidP="004950C7">
            <w:pPr>
              <w:pStyle w:val="a3"/>
              <w:widowControl/>
              <w:spacing w:before="100" w:beforeAutospacing="1" w:after="100" w:afterAutospacing="1" w:line="480" w:lineRule="atLeast"/>
              <w:ind w:leftChars="0" w:left="0"/>
              <w:jc w:val="center"/>
              <w:rPr>
                <w:rFonts w:ascii="Times New Roman" w:eastAsia="標楷體" w:hAnsi="Times New Roman"/>
                <w:b/>
                <w:color w:val="000000" w:themeColor="text1"/>
                <w:szCs w:val="24"/>
              </w:rPr>
            </w:pPr>
            <w:r w:rsidRPr="002D00AB">
              <w:rPr>
                <w:rFonts w:ascii="Times New Roman" w:eastAsia="標楷體" w:hAnsi="Times New Roman"/>
                <w:b/>
                <w:color w:val="000000" w:themeColor="text1"/>
                <w:szCs w:val="24"/>
              </w:rPr>
              <w:t>分機</w:t>
            </w:r>
          </w:p>
        </w:tc>
      </w:tr>
      <w:tr w:rsidR="009B3988" w:rsidRPr="002D00AB" w:rsidTr="002D00AB">
        <w:tc>
          <w:tcPr>
            <w:tcW w:w="716"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寰宇學習</w:t>
            </w:r>
          </w:p>
        </w:tc>
        <w:tc>
          <w:tcPr>
            <w:tcW w:w="2987" w:type="pct"/>
            <w:vAlign w:val="center"/>
          </w:tcPr>
          <w:p w:rsidR="009B3988" w:rsidRPr="002D00AB" w:rsidRDefault="009B3988" w:rsidP="002D00AB">
            <w:pPr>
              <w:spacing w:before="100" w:beforeAutospacing="1" w:after="100" w:afterAutospacing="1"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「寰宇學習」旨在推廣的國際文化交流活動，提供學生完整的國際學習環境及完善的文化課程，邀請本校返國交換學生或各國來訪交換學生，於每日開設講座，遇特殊節日舉辦相關活動，如</w:t>
            </w:r>
            <w:proofErr w:type="gramStart"/>
            <w:r w:rsidRPr="002D00AB">
              <w:rPr>
                <w:rFonts w:ascii="Times New Roman" w:eastAsia="標楷體" w:hAnsi="Times New Roman"/>
                <w:color w:val="000000" w:themeColor="text1"/>
                <w:szCs w:val="24"/>
              </w:rPr>
              <w:t>復活節彩</w:t>
            </w:r>
            <w:proofErr w:type="gramEnd"/>
            <w:r w:rsidRPr="002D00AB">
              <w:rPr>
                <w:rFonts w:ascii="Times New Roman" w:eastAsia="標楷體" w:hAnsi="Times New Roman"/>
                <w:color w:val="000000" w:themeColor="text1"/>
                <w:szCs w:val="24"/>
              </w:rPr>
              <w:t>蛋繪畫等，內容包含各國文化、傳統、習俗、生活習慣、流行音樂、藝術、美食、宗教信仰等其他各國特色，學生藉由參加「寰宇學習」，接觸國際相關訊息，提升學習動力與國際視野，進而申請參加</w:t>
            </w:r>
            <w:r w:rsidRPr="002D00AB">
              <w:rPr>
                <w:rFonts w:ascii="Times New Roman" w:eastAsia="標楷體" w:hAnsi="Times New Roman"/>
                <w:color w:val="000000" w:themeColor="text1"/>
                <w:szCs w:val="24"/>
              </w:rPr>
              <w:t>411</w:t>
            </w:r>
            <w:r w:rsidRPr="002D00AB">
              <w:rPr>
                <w:rFonts w:ascii="Times New Roman" w:eastAsia="標楷體" w:hAnsi="Times New Roman"/>
                <w:color w:val="000000" w:themeColor="text1"/>
                <w:szCs w:val="24"/>
              </w:rPr>
              <w:t>遊留學計畫。「</w:t>
            </w:r>
            <w:r w:rsidRPr="002D00AB">
              <w:rPr>
                <w:rFonts w:ascii="Times New Roman" w:eastAsia="標楷體" w:hAnsi="Times New Roman"/>
                <w:color w:val="000000" w:themeColor="text1"/>
                <w:szCs w:val="24"/>
              </w:rPr>
              <w:t>411</w:t>
            </w:r>
            <w:r w:rsidRPr="002D00AB">
              <w:rPr>
                <w:rFonts w:ascii="Times New Roman" w:eastAsia="標楷體" w:hAnsi="Times New Roman"/>
                <w:color w:val="000000" w:themeColor="text1"/>
                <w:szCs w:val="24"/>
              </w:rPr>
              <w:t>」代表學生在大學四年中，至少寒暑假出國遊學一次，或留學當交換生一次。國際暨兩岸事務處將不定期提供出國遊留學資訊、獎學金公告等，期望拓展同學們的世界觀以及對地球村的關懷。</w:t>
            </w:r>
          </w:p>
        </w:tc>
        <w:tc>
          <w:tcPr>
            <w:tcW w:w="539" w:type="pct"/>
            <w:vAlign w:val="center"/>
          </w:tcPr>
          <w:p w:rsidR="009B3988" w:rsidRPr="002D00AB" w:rsidRDefault="009B3988" w:rsidP="002D00AB">
            <w:pPr>
              <w:pStyle w:val="a3"/>
              <w:widowControl/>
              <w:spacing w:before="100" w:beforeAutospacing="1" w:after="100" w:afterAutospacing="1" w:line="480" w:lineRule="atLeast"/>
              <w:ind w:leftChars="0" w:left="0"/>
              <w:jc w:val="center"/>
              <w:rPr>
                <w:rFonts w:ascii="Times New Roman" w:eastAsia="標楷體" w:hAnsi="Times New Roman" w:hint="eastAsia"/>
                <w:color w:val="000000" w:themeColor="text1"/>
                <w:szCs w:val="24"/>
              </w:rPr>
            </w:pPr>
            <w:r w:rsidRPr="002D00AB">
              <w:rPr>
                <w:rFonts w:ascii="Times New Roman" w:eastAsia="標楷體" w:hAnsi="Times New Roman"/>
                <w:color w:val="000000" w:themeColor="text1"/>
                <w:szCs w:val="24"/>
              </w:rPr>
              <w:t>國際暨兩岸事務處</w:t>
            </w:r>
          </w:p>
          <w:p w:rsidR="009B3988" w:rsidRPr="002D00AB" w:rsidRDefault="009B3988" w:rsidP="002D00AB">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w:t>
            </w:r>
            <w:r w:rsidRPr="002D00AB">
              <w:rPr>
                <w:rFonts w:ascii="Times New Roman" w:eastAsia="標楷體" w:hAnsi="Times New Roman"/>
                <w:color w:val="000000" w:themeColor="text1"/>
                <w:szCs w:val="24"/>
              </w:rPr>
              <w:t>主顧樓</w:t>
            </w:r>
            <w:r w:rsidRPr="002D00AB">
              <w:rPr>
                <w:rFonts w:ascii="Times New Roman" w:eastAsia="標楷體" w:hAnsi="Times New Roman"/>
                <w:color w:val="000000" w:themeColor="text1"/>
                <w:szCs w:val="24"/>
              </w:rPr>
              <w:t>315</w:t>
            </w:r>
            <w:r w:rsidRPr="002D00AB">
              <w:rPr>
                <w:rFonts w:ascii="Times New Roman" w:eastAsia="標楷體" w:hAnsi="Times New Roman"/>
                <w:color w:val="000000" w:themeColor="text1"/>
                <w:szCs w:val="24"/>
              </w:rPr>
              <w:t>室</w:t>
            </w:r>
            <w:r w:rsidRPr="002D00AB">
              <w:rPr>
                <w:rFonts w:ascii="Times New Roman" w:eastAsia="標楷體" w:hAnsi="Times New Roman"/>
                <w:color w:val="000000" w:themeColor="text1"/>
                <w:szCs w:val="24"/>
              </w:rPr>
              <w:t>411</w:t>
            </w:r>
            <w:r w:rsidRPr="002D00AB">
              <w:rPr>
                <w:rFonts w:ascii="Times New Roman" w:eastAsia="標楷體" w:hAnsi="Times New Roman"/>
                <w:color w:val="000000" w:themeColor="text1"/>
                <w:szCs w:val="24"/>
              </w:rPr>
              <w:t>遊留學中心</w:t>
            </w:r>
            <w:r w:rsidRPr="002D00AB">
              <w:rPr>
                <w:rFonts w:ascii="Times New Roman" w:eastAsia="標楷體" w:hAnsi="Times New Roman"/>
                <w:color w:val="000000" w:themeColor="text1"/>
                <w:szCs w:val="24"/>
              </w:rPr>
              <w:t>)</w:t>
            </w:r>
          </w:p>
        </w:tc>
        <w:tc>
          <w:tcPr>
            <w:tcW w:w="465" w:type="pct"/>
            <w:vAlign w:val="center"/>
          </w:tcPr>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詹婷如</w:t>
            </w:r>
          </w:p>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小姐</w:t>
            </w:r>
            <w:bookmarkStart w:id="0" w:name="_GoBack"/>
            <w:bookmarkEnd w:id="0"/>
          </w:p>
        </w:tc>
        <w:tc>
          <w:tcPr>
            <w:tcW w:w="293" w:type="pct"/>
            <w:vAlign w:val="center"/>
          </w:tcPr>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11564</w:t>
            </w:r>
          </w:p>
        </w:tc>
      </w:tr>
      <w:tr w:rsidR="009B3988" w:rsidRPr="002D00AB" w:rsidTr="002D00AB">
        <w:tc>
          <w:tcPr>
            <w:tcW w:w="716"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健康存摺</w:t>
            </w:r>
            <w:r w:rsidRPr="002D00AB">
              <w:rPr>
                <w:rFonts w:ascii="Times New Roman" w:eastAsia="標楷體" w:hAnsi="Times New Roman"/>
                <w:color w:val="000000" w:themeColor="text1"/>
                <w:szCs w:val="24"/>
              </w:rPr>
              <w:t>ABC</w:t>
            </w:r>
          </w:p>
        </w:tc>
        <w:tc>
          <w:tcPr>
            <w:tcW w:w="2987"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健康的身體需要建立在良好的飲食觀念與持續的運動習慣上。本座談將介紹健康的意涵，以及如何在校園中能有健康的飲食與善用學校運動設施培養運動習慣。</w:t>
            </w:r>
          </w:p>
          <w:p w:rsidR="002D00AB" w:rsidRDefault="009B3988" w:rsidP="002D00AB">
            <w:pPr>
              <w:spacing w:line="400" w:lineRule="exact"/>
              <w:ind w:firstLineChars="200" w:firstLine="480"/>
              <w:jc w:val="both"/>
              <w:rPr>
                <w:rFonts w:ascii="Times New Roman" w:eastAsia="標楷體" w:hAnsi="Times New Roman" w:hint="eastAsia"/>
                <w:color w:val="000000" w:themeColor="text1"/>
                <w:szCs w:val="24"/>
              </w:rPr>
            </w:pPr>
            <w:r w:rsidRPr="002D00AB">
              <w:rPr>
                <w:rFonts w:ascii="Times New Roman" w:eastAsia="標楷體" w:hAnsi="Times New Roman"/>
                <w:color w:val="000000" w:themeColor="text1"/>
                <w:szCs w:val="24"/>
              </w:rPr>
              <w:t>座談中也將協助新生檢視自身的飲食與運動習慣，協助新生「精打細算」自己的健康存摺，而不是「入不敷出」，讓學生成為健康世界裡的大富翁與大富婆。</w:t>
            </w:r>
          </w:p>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「健康存摺</w:t>
            </w:r>
            <w:r w:rsidRPr="002D00AB">
              <w:rPr>
                <w:rFonts w:ascii="Times New Roman" w:eastAsia="標楷體" w:hAnsi="Times New Roman"/>
                <w:color w:val="000000" w:themeColor="text1"/>
                <w:szCs w:val="24"/>
              </w:rPr>
              <w:t>ABC</w:t>
            </w:r>
            <w:r w:rsidRPr="002D00AB">
              <w:rPr>
                <w:rFonts w:ascii="Times New Roman" w:eastAsia="標楷體" w:hAnsi="Times New Roman"/>
                <w:color w:val="000000" w:themeColor="text1"/>
                <w:szCs w:val="24"/>
              </w:rPr>
              <w:t>」屬本校「人文素養」課程的一環，由學生事務處主辦，並由住宿</w:t>
            </w:r>
            <w:proofErr w:type="gramStart"/>
            <w:r w:rsidRPr="002D00AB">
              <w:rPr>
                <w:rFonts w:ascii="Times New Roman" w:eastAsia="標楷體" w:hAnsi="Times New Roman"/>
                <w:color w:val="000000" w:themeColor="text1"/>
                <w:szCs w:val="24"/>
              </w:rPr>
              <w:t>服務組編製</w:t>
            </w:r>
            <w:proofErr w:type="gramEnd"/>
            <w:r w:rsidRPr="002D00AB">
              <w:rPr>
                <w:rFonts w:ascii="Times New Roman" w:eastAsia="標楷體" w:hAnsi="Times New Roman"/>
                <w:color w:val="000000" w:themeColor="text1"/>
                <w:szCs w:val="24"/>
              </w:rPr>
              <w:t>座談內容，交由榮譽</w:t>
            </w:r>
            <w:proofErr w:type="gramStart"/>
            <w:r w:rsidRPr="002D00AB">
              <w:rPr>
                <w:rFonts w:ascii="Times New Roman" w:eastAsia="標楷體" w:hAnsi="Times New Roman"/>
                <w:color w:val="000000" w:themeColor="text1"/>
                <w:szCs w:val="24"/>
              </w:rPr>
              <w:t>學長姐於座談</w:t>
            </w:r>
            <w:proofErr w:type="gramEnd"/>
            <w:r w:rsidRPr="002D00AB">
              <w:rPr>
                <w:rFonts w:ascii="Times New Roman" w:eastAsia="標楷體" w:hAnsi="Times New Roman"/>
                <w:color w:val="000000" w:themeColor="text1"/>
                <w:szCs w:val="24"/>
              </w:rPr>
              <w:t>中參考使用。</w:t>
            </w:r>
          </w:p>
        </w:tc>
        <w:tc>
          <w:tcPr>
            <w:tcW w:w="539" w:type="pct"/>
            <w:vMerge w:val="restar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住宿服務組</w:t>
            </w:r>
            <w:r w:rsidRPr="002D00AB">
              <w:rPr>
                <w:rFonts w:ascii="Times New Roman" w:eastAsia="標楷體" w:hAnsi="Times New Roman"/>
                <w:color w:val="000000" w:themeColor="text1"/>
                <w:szCs w:val="24"/>
              </w:rPr>
              <w:t xml:space="preserve">          (</w:t>
            </w:r>
            <w:proofErr w:type="gramStart"/>
            <w:r w:rsidRPr="002D00AB">
              <w:rPr>
                <w:rFonts w:ascii="Times New Roman" w:eastAsia="標楷體" w:hAnsi="Times New Roman"/>
                <w:color w:val="000000" w:themeColor="text1"/>
                <w:szCs w:val="24"/>
              </w:rPr>
              <w:t>希嘉學</w:t>
            </w:r>
            <w:proofErr w:type="gramEnd"/>
            <w:r w:rsidRPr="002D00AB">
              <w:rPr>
                <w:rFonts w:ascii="Times New Roman" w:eastAsia="標楷體" w:hAnsi="Times New Roman"/>
                <w:color w:val="000000" w:themeColor="text1"/>
                <w:szCs w:val="24"/>
              </w:rPr>
              <w:t>苑、思高學苑</w:t>
            </w:r>
            <w:r w:rsidRPr="002D00AB">
              <w:rPr>
                <w:rFonts w:ascii="Times New Roman" w:eastAsia="標楷體" w:hAnsi="Times New Roman"/>
                <w:color w:val="000000" w:themeColor="text1"/>
                <w:szCs w:val="24"/>
              </w:rPr>
              <w:t>)</w:t>
            </w:r>
          </w:p>
        </w:tc>
        <w:tc>
          <w:tcPr>
            <w:tcW w:w="465" w:type="pct"/>
            <w:vMerge w:val="restart"/>
            <w:vAlign w:val="center"/>
          </w:tcPr>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郭真怡</w:t>
            </w:r>
          </w:p>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小姐</w:t>
            </w:r>
          </w:p>
        </w:tc>
        <w:tc>
          <w:tcPr>
            <w:tcW w:w="293" w:type="pct"/>
            <w:vMerge w:val="restart"/>
            <w:vAlign w:val="center"/>
          </w:tcPr>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11253</w:t>
            </w:r>
          </w:p>
        </w:tc>
      </w:tr>
      <w:tr w:rsidR="009B3988" w:rsidRPr="002D00AB" w:rsidTr="002D00AB">
        <w:tc>
          <w:tcPr>
            <w:tcW w:w="716" w:type="pct"/>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成為學習的主人</w:t>
            </w:r>
          </w:p>
        </w:tc>
        <w:tc>
          <w:tcPr>
            <w:tcW w:w="2987" w:type="pct"/>
            <w:vAlign w:val="center"/>
          </w:tcPr>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「學習」的目的是在拓廣個人知識技能、發展潛能及培育健全人格。因此選擇良好的學習環境、時間，及運用合適的學習方法，將增進個人的學習成效，達到事半功倍的效果。</w:t>
            </w:r>
          </w:p>
          <w:p w:rsidR="002D00AB" w:rsidRDefault="009B3988" w:rsidP="002D00AB">
            <w:pPr>
              <w:spacing w:line="400" w:lineRule="exact"/>
              <w:ind w:firstLineChars="200" w:firstLine="480"/>
              <w:jc w:val="both"/>
              <w:rPr>
                <w:rFonts w:ascii="Times New Roman" w:eastAsia="標楷體" w:hAnsi="Times New Roman" w:hint="eastAsia"/>
                <w:color w:val="000000" w:themeColor="text1"/>
                <w:szCs w:val="24"/>
              </w:rPr>
            </w:pPr>
            <w:r w:rsidRPr="002D00AB">
              <w:rPr>
                <w:rFonts w:ascii="Times New Roman" w:eastAsia="標楷體" w:hAnsi="Times New Roman"/>
                <w:color w:val="000000" w:themeColor="text1"/>
                <w:szCs w:val="24"/>
              </w:rPr>
              <w:t>大學的學習有別於高中，應該要化被動為主動，而大</w:t>
            </w:r>
            <w:proofErr w:type="gramStart"/>
            <w:r w:rsidRPr="002D00AB">
              <w:rPr>
                <w:rFonts w:ascii="Times New Roman" w:eastAsia="標楷體" w:hAnsi="Times New Roman"/>
                <w:color w:val="000000" w:themeColor="text1"/>
                <w:szCs w:val="24"/>
              </w:rPr>
              <w:t>一</w:t>
            </w:r>
            <w:proofErr w:type="gramEnd"/>
            <w:r w:rsidRPr="002D00AB">
              <w:rPr>
                <w:rFonts w:ascii="Times New Roman" w:eastAsia="標楷體" w:hAnsi="Times New Roman"/>
                <w:color w:val="000000" w:themeColor="text1"/>
                <w:szCs w:val="24"/>
              </w:rPr>
              <w:t>又是大學四年的關鍵期，因此本座談要透過榮譽學長姐現身說法，介紹時間管理、讀書方法、如何做筆記、如何準備考試等學習議題，協助大</w:t>
            </w:r>
            <w:proofErr w:type="gramStart"/>
            <w:r w:rsidRPr="002D00AB">
              <w:rPr>
                <w:rFonts w:ascii="Times New Roman" w:eastAsia="標楷體" w:hAnsi="Times New Roman"/>
                <w:color w:val="000000" w:themeColor="text1"/>
                <w:szCs w:val="24"/>
              </w:rPr>
              <w:t>一</w:t>
            </w:r>
            <w:proofErr w:type="gramEnd"/>
            <w:r w:rsidRPr="002D00AB">
              <w:rPr>
                <w:rFonts w:ascii="Times New Roman" w:eastAsia="標楷體" w:hAnsi="Times New Roman"/>
                <w:color w:val="000000" w:themeColor="text1"/>
                <w:szCs w:val="24"/>
              </w:rPr>
              <w:t>新生能儘快適應大學的學習模式，成為學習的主人。</w:t>
            </w:r>
          </w:p>
          <w:p w:rsidR="009B3988" w:rsidRPr="002D00AB" w:rsidRDefault="009B3988" w:rsidP="002D00AB">
            <w:pPr>
              <w:spacing w:line="400" w:lineRule="exact"/>
              <w:ind w:firstLineChars="200" w:firstLine="480"/>
              <w:jc w:val="both"/>
              <w:rPr>
                <w:rFonts w:ascii="Times New Roman" w:eastAsia="標楷體" w:hAnsi="Times New Roman"/>
                <w:color w:val="000000" w:themeColor="text1"/>
                <w:szCs w:val="24"/>
              </w:rPr>
            </w:pPr>
            <w:r w:rsidRPr="002D00AB">
              <w:rPr>
                <w:rFonts w:ascii="Times New Roman" w:eastAsia="標楷體" w:hAnsi="Times New Roman"/>
                <w:color w:val="000000" w:themeColor="text1"/>
                <w:szCs w:val="24"/>
              </w:rPr>
              <w:t>「成為學習的主人」屬本校「人文素養」課程的一環，由學生事務處主辦，並由住宿</w:t>
            </w:r>
            <w:proofErr w:type="gramStart"/>
            <w:r w:rsidRPr="002D00AB">
              <w:rPr>
                <w:rFonts w:ascii="Times New Roman" w:eastAsia="標楷體" w:hAnsi="Times New Roman"/>
                <w:color w:val="000000" w:themeColor="text1"/>
                <w:szCs w:val="24"/>
              </w:rPr>
              <w:t>服務組編製</w:t>
            </w:r>
            <w:proofErr w:type="gramEnd"/>
            <w:r w:rsidRPr="002D00AB">
              <w:rPr>
                <w:rFonts w:ascii="Times New Roman" w:eastAsia="標楷體" w:hAnsi="Times New Roman"/>
                <w:color w:val="000000" w:themeColor="text1"/>
                <w:szCs w:val="24"/>
              </w:rPr>
              <w:t>座談內容，由榮譽學長姐進行分享。</w:t>
            </w:r>
          </w:p>
        </w:tc>
        <w:tc>
          <w:tcPr>
            <w:tcW w:w="539" w:type="pct"/>
            <w:vMerge/>
            <w:vAlign w:val="center"/>
          </w:tcPr>
          <w:p w:rsidR="009B3988" w:rsidRPr="002D00AB" w:rsidRDefault="009B3988" w:rsidP="009B3988">
            <w:pPr>
              <w:pStyle w:val="a3"/>
              <w:widowControl/>
              <w:spacing w:before="100" w:beforeAutospacing="1" w:after="100" w:afterAutospacing="1" w:line="480" w:lineRule="atLeast"/>
              <w:ind w:leftChars="0" w:left="0"/>
              <w:jc w:val="center"/>
              <w:rPr>
                <w:rFonts w:ascii="Times New Roman" w:eastAsia="標楷體" w:hAnsi="Times New Roman"/>
                <w:color w:val="000000" w:themeColor="text1"/>
                <w:szCs w:val="24"/>
              </w:rPr>
            </w:pPr>
          </w:p>
        </w:tc>
        <w:tc>
          <w:tcPr>
            <w:tcW w:w="465" w:type="pct"/>
            <w:vMerge/>
            <w:vAlign w:val="center"/>
          </w:tcPr>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p>
        </w:tc>
        <w:tc>
          <w:tcPr>
            <w:tcW w:w="293" w:type="pct"/>
            <w:vMerge/>
            <w:vAlign w:val="center"/>
          </w:tcPr>
          <w:p w:rsidR="009B3988" w:rsidRPr="002D00AB" w:rsidRDefault="009B3988" w:rsidP="009B3988">
            <w:pPr>
              <w:pStyle w:val="a3"/>
              <w:widowControl/>
              <w:ind w:leftChars="0" w:left="0"/>
              <w:jc w:val="center"/>
              <w:rPr>
                <w:rFonts w:ascii="Times New Roman" w:eastAsia="標楷體" w:hAnsi="Times New Roman"/>
                <w:color w:val="000000" w:themeColor="text1"/>
                <w:szCs w:val="24"/>
              </w:rPr>
            </w:pPr>
          </w:p>
        </w:tc>
      </w:tr>
    </w:tbl>
    <w:p w:rsidR="007966FD" w:rsidRPr="002D00AB" w:rsidRDefault="007966FD" w:rsidP="002D00AB">
      <w:pPr>
        <w:rPr>
          <w:rFonts w:ascii="標楷體" w:eastAsia="標楷體" w:hAnsi="標楷體"/>
          <w:szCs w:val="24"/>
        </w:rPr>
      </w:pPr>
    </w:p>
    <w:sectPr w:rsidR="007966FD" w:rsidRPr="002D00AB" w:rsidSect="006B4A8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F6" w:rsidRDefault="000252F6" w:rsidP="00FE1004">
      <w:r>
        <w:separator/>
      </w:r>
    </w:p>
  </w:endnote>
  <w:endnote w:type="continuationSeparator" w:id="0">
    <w:p w:rsidR="000252F6" w:rsidRDefault="000252F6" w:rsidP="00FE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F6" w:rsidRDefault="000252F6" w:rsidP="00FE1004">
      <w:r>
        <w:separator/>
      </w:r>
    </w:p>
  </w:footnote>
  <w:footnote w:type="continuationSeparator" w:id="0">
    <w:p w:rsidR="000252F6" w:rsidRDefault="000252F6" w:rsidP="00FE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56"/>
    <w:rsid w:val="000252F6"/>
    <w:rsid w:val="000A64F7"/>
    <w:rsid w:val="000C2B0F"/>
    <w:rsid w:val="00100240"/>
    <w:rsid w:val="00100FE1"/>
    <w:rsid w:val="00133FB6"/>
    <w:rsid w:val="002A4056"/>
    <w:rsid w:val="002D00AB"/>
    <w:rsid w:val="0041039A"/>
    <w:rsid w:val="00547B53"/>
    <w:rsid w:val="0055280C"/>
    <w:rsid w:val="00662C51"/>
    <w:rsid w:val="006B4A8E"/>
    <w:rsid w:val="006C1A2C"/>
    <w:rsid w:val="00745104"/>
    <w:rsid w:val="007966FD"/>
    <w:rsid w:val="00833451"/>
    <w:rsid w:val="00890906"/>
    <w:rsid w:val="009319A9"/>
    <w:rsid w:val="00967359"/>
    <w:rsid w:val="009B3988"/>
    <w:rsid w:val="009B4170"/>
    <w:rsid w:val="00B7755D"/>
    <w:rsid w:val="00BC518A"/>
    <w:rsid w:val="00F03956"/>
    <w:rsid w:val="00F8043E"/>
    <w:rsid w:val="00FE1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56"/>
    <w:pPr>
      <w:widowControl w:val="0"/>
    </w:pPr>
    <w:rPr>
      <w:rFonts w:ascii="Calibri" w:eastAsia="新細明體" w:hAnsi="Calibri" w:cs="Times New Roman"/>
    </w:rPr>
  </w:style>
  <w:style w:type="paragraph" w:styleId="1">
    <w:name w:val="heading 1"/>
    <w:basedOn w:val="a"/>
    <w:next w:val="a"/>
    <w:link w:val="10"/>
    <w:uiPriority w:val="99"/>
    <w:qFormat/>
    <w:rsid w:val="00662C5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956"/>
    <w:pPr>
      <w:ind w:leftChars="200" w:left="480"/>
    </w:pPr>
  </w:style>
  <w:style w:type="character" w:styleId="a4">
    <w:name w:val="annotation reference"/>
    <w:basedOn w:val="a0"/>
    <w:uiPriority w:val="99"/>
    <w:semiHidden/>
    <w:unhideWhenUsed/>
    <w:rsid w:val="00F03956"/>
    <w:rPr>
      <w:sz w:val="18"/>
      <w:szCs w:val="18"/>
    </w:rPr>
  </w:style>
  <w:style w:type="paragraph" w:styleId="a5">
    <w:name w:val="annotation text"/>
    <w:basedOn w:val="a"/>
    <w:link w:val="a6"/>
    <w:uiPriority w:val="99"/>
    <w:semiHidden/>
    <w:unhideWhenUsed/>
    <w:rsid w:val="00F03956"/>
  </w:style>
  <w:style w:type="character" w:customStyle="1" w:styleId="a6">
    <w:name w:val="註解文字 字元"/>
    <w:basedOn w:val="a0"/>
    <w:link w:val="a5"/>
    <w:uiPriority w:val="99"/>
    <w:semiHidden/>
    <w:rsid w:val="00F03956"/>
    <w:rPr>
      <w:rFonts w:ascii="Calibri" w:eastAsia="新細明體" w:hAnsi="Calibri" w:cs="Times New Roman"/>
    </w:rPr>
  </w:style>
  <w:style w:type="paragraph" w:styleId="a7">
    <w:name w:val="annotation subject"/>
    <w:basedOn w:val="a5"/>
    <w:next w:val="a5"/>
    <w:link w:val="a8"/>
    <w:uiPriority w:val="99"/>
    <w:semiHidden/>
    <w:unhideWhenUsed/>
    <w:rsid w:val="00F03956"/>
    <w:rPr>
      <w:b/>
      <w:bCs/>
    </w:rPr>
  </w:style>
  <w:style w:type="character" w:customStyle="1" w:styleId="a8">
    <w:name w:val="註解主旨 字元"/>
    <w:basedOn w:val="a6"/>
    <w:link w:val="a7"/>
    <w:uiPriority w:val="99"/>
    <w:semiHidden/>
    <w:rsid w:val="00F03956"/>
    <w:rPr>
      <w:rFonts w:ascii="Calibri" w:eastAsia="新細明體" w:hAnsi="Calibri" w:cs="Times New Roman"/>
      <w:b/>
      <w:bCs/>
    </w:rPr>
  </w:style>
  <w:style w:type="paragraph" w:styleId="a9">
    <w:name w:val="Balloon Text"/>
    <w:basedOn w:val="a"/>
    <w:link w:val="aa"/>
    <w:uiPriority w:val="99"/>
    <w:semiHidden/>
    <w:unhideWhenUsed/>
    <w:rsid w:val="00F039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03956"/>
    <w:rPr>
      <w:rFonts w:asciiTheme="majorHAnsi" w:eastAsiaTheme="majorEastAsia" w:hAnsiTheme="majorHAnsi" w:cstheme="majorBidi"/>
      <w:sz w:val="18"/>
      <w:szCs w:val="18"/>
    </w:rPr>
  </w:style>
  <w:style w:type="character" w:customStyle="1" w:styleId="10">
    <w:name w:val="標題 1 字元"/>
    <w:basedOn w:val="a0"/>
    <w:link w:val="1"/>
    <w:uiPriority w:val="99"/>
    <w:rsid w:val="00662C51"/>
    <w:rPr>
      <w:rFonts w:ascii="Cambria" w:eastAsia="新細明體" w:hAnsi="Cambria" w:cs="Times New Roman"/>
      <w:b/>
      <w:bCs/>
      <w:kern w:val="52"/>
      <w:sz w:val="52"/>
      <w:szCs w:val="52"/>
    </w:rPr>
  </w:style>
  <w:style w:type="paragraph" w:styleId="ab">
    <w:name w:val="header"/>
    <w:basedOn w:val="a"/>
    <w:link w:val="ac"/>
    <w:uiPriority w:val="99"/>
    <w:unhideWhenUsed/>
    <w:rsid w:val="00FE1004"/>
    <w:pPr>
      <w:tabs>
        <w:tab w:val="center" w:pos="4153"/>
        <w:tab w:val="right" w:pos="8306"/>
      </w:tabs>
      <w:snapToGrid w:val="0"/>
    </w:pPr>
    <w:rPr>
      <w:sz w:val="20"/>
      <w:szCs w:val="20"/>
    </w:rPr>
  </w:style>
  <w:style w:type="character" w:customStyle="1" w:styleId="ac">
    <w:name w:val="頁首 字元"/>
    <w:basedOn w:val="a0"/>
    <w:link w:val="ab"/>
    <w:uiPriority w:val="99"/>
    <w:rsid w:val="00FE1004"/>
    <w:rPr>
      <w:rFonts w:ascii="Calibri" w:eastAsia="新細明體" w:hAnsi="Calibri" w:cs="Times New Roman"/>
      <w:sz w:val="20"/>
      <w:szCs w:val="20"/>
    </w:rPr>
  </w:style>
  <w:style w:type="paragraph" w:styleId="ad">
    <w:name w:val="footer"/>
    <w:basedOn w:val="a"/>
    <w:link w:val="ae"/>
    <w:uiPriority w:val="99"/>
    <w:unhideWhenUsed/>
    <w:rsid w:val="00FE1004"/>
    <w:pPr>
      <w:tabs>
        <w:tab w:val="center" w:pos="4153"/>
        <w:tab w:val="right" w:pos="8306"/>
      </w:tabs>
      <w:snapToGrid w:val="0"/>
    </w:pPr>
    <w:rPr>
      <w:sz w:val="20"/>
      <w:szCs w:val="20"/>
    </w:rPr>
  </w:style>
  <w:style w:type="character" w:customStyle="1" w:styleId="ae">
    <w:name w:val="頁尾 字元"/>
    <w:basedOn w:val="a0"/>
    <w:link w:val="ad"/>
    <w:uiPriority w:val="99"/>
    <w:rsid w:val="00FE1004"/>
    <w:rPr>
      <w:rFonts w:ascii="Calibri" w:eastAsia="新細明體" w:hAnsi="Calibri" w:cs="Times New Roman"/>
      <w:sz w:val="20"/>
      <w:szCs w:val="20"/>
    </w:rPr>
  </w:style>
  <w:style w:type="character" w:styleId="af">
    <w:name w:val="Strong"/>
    <w:basedOn w:val="a0"/>
    <w:uiPriority w:val="22"/>
    <w:qFormat/>
    <w:rsid w:val="00890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56"/>
    <w:pPr>
      <w:widowControl w:val="0"/>
    </w:pPr>
    <w:rPr>
      <w:rFonts w:ascii="Calibri" w:eastAsia="新細明體" w:hAnsi="Calibri" w:cs="Times New Roman"/>
    </w:rPr>
  </w:style>
  <w:style w:type="paragraph" w:styleId="1">
    <w:name w:val="heading 1"/>
    <w:basedOn w:val="a"/>
    <w:next w:val="a"/>
    <w:link w:val="10"/>
    <w:uiPriority w:val="99"/>
    <w:qFormat/>
    <w:rsid w:val="00662C5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956"/>
    <w:pPr>
      <w:ind w:leftChars="200" w:left="480"/>
    </w:pPr>
  </w:style>
  <w:style w:type="character" w:styleId="a4">
    <w:name w:val="annotation reference"/>
    <w:basedOn w:val="a0"/>
    <w:uiPriority w:val="99"/>
    <w:semiHidden/>
    <w:unhideWhenUsed/>
    <w:rsid w:val="00F03956"/>
    <w:rPr>
      <w:sz w:val="18"/>
      <w:szCs w:val="18"/>
    </w:rPr>
  </w:style>
  <w:style w:type="paragraph" w:styleId="a5">
    <w:name w:val="annotation text"/>
    <w:basedOn w:val="a"/>
    <w:link w:val="a6"/>
    <w:uiPriority w:val="99"/>
    <w:semiHidden/>
    <w:unhideWhenUsed/>
    <w:rsid w:val="00F03956"/>
  </w:style>
  <w:style w:type="character" w:customStyle="1" w:styleId="a6">
    <w:name w:val="註解文字 字元"/>
    <w:basedOn w:val="a0"/>
    <w:link w:val="a5"/>
    <w:uiPriority w:val="99"/>
    <w:semiHidden/>
    <w:rsid w:val="00F03956"/>
    <w:rPr>
      <w:rFonts w:ascii="Calibri" w:eastAsia="新細明體" w:hAnsi="Calibri" w:cs="Times New Roman"/>
    </w:rPr>
  </w:style>
  <w:style w:type="paragraph" w:styleId="a7">
    <w:name w:val="annotation subject"/>
    <w:basedOn w:val="a5"/>
    <w:next w:val="a5"/>
    <w:link w:val="a8"/>
    <w:uiPriority w:val="99"/>
    <w:semiHidden/>
    <w:unhideWhenUsed/>
    <w:rsid w:val="00F03956"/>
    <w:rPr>
      <w:b/>
      <w:bCs/>
    </w:rPr>
  </w:style>
  <w:style w:type="character" w:customStyle="1" w:styleId="a8">
    <w:name w:val="註解主旨 字元"/>
    <w:basedOn w:val="a6"/>
    <w:link w:val="a7"/>
    <w:uiPriority w:val="99"/>
    <w:semiHidden/>
    <w:rsid w:val="00F03956"/>
    <w:rPr>
      <w:rFonts w:ascii="Calibri" w:eastAsia="新細明體" w:hAnsi="Calibri" w:cs="Times New Roman"/>
      <w:b/>
      <w:bCs/>
    </w:rPr>
  </w:style>
  <w:style w:type="paragraph" w:styleId="a9">
    <w:name w:val="Balloon Text"/>
    <w:basedOn w:val="a"/>
    <w:link w:val="aa"/>
    <w:uiPriority w:val="99"/>
    <w:semiHidden/>
    <w:unhideWhenUsed/>
    <w:rsid w:val="00F039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03956"/>
    <w:rPr>
      <w:rFonts w:asciiTheme="majorHAnsi" w:eastAsiaTheme="majorEastAsia" w:hAnsiTheme="majorHAnsi" w:cstheme="majorBidi"/>
      <w:sz w:val="18"/>
      <w:szCs w:val="18"/>
    </w:rPr>
  </w:style>
  <w:style w:type="character" w:customStyle="1" w:styleId="10">
    <w:name w:val="標題 1 字元"/>
    <w:basedOn w:val="a0"/>
    <w:link w:val="1"/>
    <w:uiPriority w:val="99"/>
    <w:rsid w:val="00662C51"/>
    <w:rPr>
      <w:rFonts w:ascii="Cambria" w:eastAsia="新細明體" w:hAnsi="Cambria" w:cs="Times New Roman"/>
      <w:b/>
      <w:bCs/>
      <w:kern w:val="52"/>
      <w:sz w:val="52"/>
      <w:szCs w:val="52"/>
    </w:rPr>
  </w:style>
  <w:style w:type="paragraph" w:styleId="ab">
    <w:name w:val="header"/>
    <w:basedOn w:val="a"/>
    <w:link w:val="ac"/>
    <w:uiPriority w:val="99"/>
    <w:unhideWhenUsed/>
    <w:rsid w:val="00FE1004"/>
    <w:pPr>
      <w:tabs>
        <w:tab w:val="center" w:pos="4153"/>
        <w:tab w:val="right" w:pos="8306"/>
      </w:tabs>
      <w:snapToGrid w:val="0"/>
    </w:pPr>
    <w:rPr>
      <w:sz w:val="20"/>
      <w:szCs w:val="20"/>
    </w:rPr>
  </w:style>
  <w:style w:type="character" w:customStyle="1" w:styleId="ac">
    <w:name w:val="頁首 字元"/>
    <w:basedOn w:val="a0"/>
    <w:link w:val="ab"/>
    <w:uiPriority w:val="99"/>
    <w:rsid w:val="00FE1004"/>
    <w:rPr>
      <w:rFonts w:ascii="Calibri" w:eastAsia="新細明體" w:hAnsi="Calibri" w:cs="Times New Roman"/>
      <w:sz w:val="20"/>
      <w:szCs w:val="20"/>
    </w:rPr>
  </w:style>
  <w:style w:type="paragraph" w:styleId="ad">
    <w:name w:val="footer"/>
    <w:basedOn w:val="a"/>
    <w:link w:val="ae"/>
    <w:uiPriority w:val="99"/>
    <w:unhideWhenUsed/>
    <w:rsid w:val="00FE1004"/>
    <w:pPr>
      <w:tabs>
        <w:tab w:val="center" w:pos="4153"/>
        <w:tab w:val="right" w:pos="8306"/>
      </w:tabs>
      <w:snapToGrid w:val="0"/>
    </w:pPr>
    <w:rPr>
      <w:sz w:val="20"/>
      <w:szCs w:val="20"/>
    </w:rPr>
  </w:style>
  <w:style w:type="character" w:customStyle="1" w:styleId="ae">
    <w:name w:val="頁尾 字元"/>
    <w:basedOn w:val="a0"/>
    <w:link w:val="ad"/>
    <w:uiPriority w:val="99"/>
    <w:rsid w:val="00FE1004"/>
    <w:rPr>
      <w:rFonts w:ascii="Calibri" w:eastAsia="新細明體" w:hAnsi="Calibri" w:cs="Times New Roman"/>
      <w:sz w:val="20"/>
      <w:szCs w:val="20"/>
    </w:rPr>
  </w:style>
  <w:style w:type="character" w:styleId="af">
    <w:name w:val="Strong"/>
    <w:basedOn w:val="a0"/>
    <w:uiPriority w:val="22"/>
    <w:qFormat/>
    <w:rsid w:val="00890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F816-AE00-4C4D-BD10-734D6DE7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3</cp:revision>
  <cp:lastPrinted>2018-09-19T00:44:00Z</cp:lastPrinted>
  <dcterms:created xsi:type="dcterms:W3CDTF">2018-09-18T08:12:00Z</dcterms:created>
  <dcterms:modified xsi:type="dcterms:W3CDTF">2018-09-19T01:01:00Z</dcterms:modified>
</cp:coreProperties>
</file>